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966AE">
      <w:pPr>
        <w:jc w:val="left"/>
        <w:rPr>
          <w:rFonts w:ascii="仿宋_GB2312" w:eastAsia="仿宋_GB2312" w:cs="宋体"/>
          <w:b/>
          <w:color w:val="auto"/>
          <w:kern w:val="0"/>
          <w:sz w:val="28"/>
          <w:szCs w:val="28"/>
        </w:rPr>
      </w:pPr>
      <w:r>
        <w:rPr>
          <w:rFonts w:hint="eastAsia" w:ascii="仿宋_GB2312" w:eastAsia="仿宋_GB2312" w:cs="宋体"/>
          <w:b/>
          <w:color w:val="auto"/>
          <w:kern w:val="0"/>
          <w:sz w:val="28"/>
          <w:szCs w:val="28"/>
        </w:rPr>
        <w:t>附件2：</w:t>
      </w:r>
    </w:p>
    <w:p w14:paraId="5F7F8425">
      <w:pPr>
        <w:spacing w:line="288" w:lineRule="auto"/>
        <w:jc w:val="center"/>
        <w:rPr>
          <w:rFonts w:ascii="Calibri" w:hAnsi="Calibri" w:eastAsia="黑体"/>
          <w:color w:val="auto"/>
          <w:sz w:val="32"/>
          <w:szCs w:val="32"/>
        </w:rPr>
      </w:pPr>
      <w:bookmarkStart w:id="0" w:name="_GoBack"/>
      <w:r>
        <w:rPr>
          <w:rFonts w:hint="eastAsia" w:ascii="Calibri" w:hAnsi="Calibri" w:eastAsia="黑体"/>
          <w:color w:val="auto"/>
          <w:sz w:val="32"/>
          <w:szCs w:val="32"/>
        </w:rPr>
        <w:t>信息科学与工程学院研究生国家奖学金</w:t>
      </w:r>
    </w:p>
    <w:p w14:paraId="1270C8FA">
      <w:pPr>
        <w:spacing w:line="288" w:lineRule="auto"/>
        <w:jc w:val="center"/>
        <w:rPr>
          <w:rFonts w:ascii="Calibri" w:hAnsi="Calibri" w:eastAsia="黑体"/>
          <w:color w:val="auto"/>
          <w:sz w:val="32"/>
          <w:szCs w:val="32"/>
        </w:rPr>
      </w:pPr>
      <w:r>
        <w:rPr>
          <w:rFonts w:hint="eastAsia" w:ascii="Calibri" w:hAnsi="Calibri" w:eastAsia="黑体"/>
          <w:color w:val="auto"/>
          <w:sz w:val="32"/>
          <w:szCs w:val="32"/>
        </w:rPr>
        <w:t>德育综合表现评分细则</w:t>
      </w:r>
    </w:p>
    <w:bookmarkEnd w:id="0"/>
    <w:p w14:paraId="3DC57040">
      <w:pPr>
        <w:spacing w:line="288" w:lineRule="auto"/>
        <w:jc w:val="center"/>
        <w:rPr>
          <w:rFonts w:hint="eastAsia" w:ascii="Calibri" w:hAnsi="Calibri" w:eastAsia="黑体"/>
          <w:color w:val="auto"/>
          <w:sz w:val="32"/>
          <w:szCs w:val="32"/>
        </w:rPr>
      </w:pPr>
    </w:p>
    <w:p w14:paraId="55F287C3">
      <w:pPr>
        <w:adjustRightInd w:val="0"/>
        <w:snapToGrid w:val="0"/>
        <w:spacing w:line="360" w:lineRule="auto"/>
        <w:rPr>
          <w:rFonts w:hint="eastAsia" w:ascii="Calibri" w:hAnsi="Calibri" w:eastAsia="仿宋_GB2312"/>
          <w:b/>
          <w:color w:val="auto"/>
          <w:sz w:val="28"/>
          <w:szCs w:val="28"/>
        </w:rPr>
      </w:pPr>
      <w:r>
        <w:rPr>
          <w:rFonts w:hint="eastAsia" w:ascii="Calibri" w:hAnsi="Calibri" w:eastAsia="仿宋_GB2312"/>
          <w:b/>
          <w:color w:val="auto"/>
          <w:sz w:val="28"/>
          <w:szCs w:val="28"/>
        </w:rPr>
        <w:t>一、基本原则</w:t>
      </w:r>
    </w:p>
    <w:p w14:paraId="7755D06D">
      <w:pPr>
        <w:adjustRightInd w:val="0"/>
        <w:snapToGrid w:val="0"/>
        <w:spacing w:line="360" w:lineRule="auto"/>
        <w:ind w:firstLine="480"/>
        <w:rPr>
          <w:rFonts w:ascii="Calibri" w:hAnsi="Calibri" w:eastAsia="仿宋_GB2312"/>
          <w:color w:val="auto"/>
          <w:sz w:val="28"/>
          <w:szCs w:val="28"/>
        </w:rPr>
      </w:pPr>
      <w:r>
        <w:rPr>
          <w:rFonts w:hint="eastAsia" w:ascii="Calibri" w:hAnsi="Calibri" w:eastAsia="仿宋_GB2312"/>
          <w:color w:val="auto"/>
          <w:sz w:val="28"/>
          <w:szCs w:val="28"/>
        </w:rPr>
        <w:t>德育综合表现是在评定研究生国家奖学金过程中对研究生进行评价的重要方面，为了体现研究生日常德育表现的重要性，在研究生国家奖学金满分100分中设定5分为德育综合表现评价，内容包括基础评价、德育奖励、特殊表现三项。</w:t>
      </w:r>
    </w:p>
    <w:p w14:paraId="53ECD271">
      <w:pPr>
        <w:adjustRightInd w:val="0"/>
        <w:snapToGrid w:val="0"/>
        <w:spacing w:line="360" w:lineRule="auto"/>
        <w:ind w:firstLine="480"/>
        <w:rPr>
          <w:rFonts w:hint="eastAsia" w:ascii="Calibri" w:hAnsi="Calibri" w:eastAsia="仿宋_GB2312"/>
          <w:color w:val="auto"/>
          <w:sz w:val="28"/>
          <w:szCs w:val="28"/>
        </w:rPr>
      </w:pPr>
    </w:p>
    <w:p w14:paraId="64DEC832">
      <w:pPr>
        <w:adjustRightInd w:val="0"/>
        <w:snapToGrid w:val="0"/>
        <w:spacing w:line="360" w:lineRule="auto"/>
        <w:rPr>
          <w:rFonts w:hint="eastAsia" w:ascii="Calibri" w:hAnsi="Calibri" w:eastAsia="仿宋_GB2312"/>
          <w:b/>
          <w:color w:val="auto"/>
          <w:sz w:val="28"/>
          <w:szCs w:val="28"/>
        </w:rPr>
      </w:pPr>
      <w:r>
        <w:rPr>
          <w:rFonts w:hint="eastAsia" w:ascii="Calibri" w:hAnsi="Calibri" w:eastAsia="仿宋_GB2312"/>
          <w:b/>
          <w:color w:val="auto"/>
          <w:sz w:val="28"/>
          <w:szCs w:val="28"/>
        </w:rPr>
        <w:t>二、评分方式</w:t>
      </w:r>
    </w:p>
    <w:p w14:paraId="5B9CC310">
      <w:pPr>
        <w:adjustRightInd w:val="0"/>
        <w:snapToGrid w:val="0"/>
        <w:spacing w:line="360" w:lineRule="auto"/>
        <w:ind w:firstLine="480"/>
        <w:rPr>
          <w:rFonts w:ascii="Calibri" w:hAnsi="Calibri" w:eastAsia="仿宋_GB2312"/>
          <w:color w:val="auto"/>
          <w:sz w:val="28"/>
          <w:szCs w:val="28"/>
        </w:rPr>
      </w:pPr>
      <w:r>
        <w:rPr>
          <w:rFonts w:hint="eastAsia" w:ascii="Calibri" w:hAnsi="Calibri" w:eastAsia="仿宋_GB2312"/>
          <w:color w:val="auto"/>
          <w:sz w:val="28"/>
          <w:szCs w:val="28"/>
        </w:rPr>
        <w:t>德育综合表现满分为5分，其中基础评价4分，德育奖励及特殊表现1分。</w:t>
      </w:r>
    </w:p>
    <w:p w14:paraId="6A7A4D6A">
      <w:pPr>
        <w:adjustRightInd w:val="0"/>
        <w:snapToGrid w:val="0"/>
        <w:spacing w:line="360" w:lineRule="auto"/>
        <w:ind w:firstLine="480"/>
        <w:rPr>
          <w:rFonts w:hint="eastAsia" w:ascii="Calibri" w:hAnsi="Calibri" w:eastAsia="仿宋_GB2312"/>
          <w:color w:val="auto"/>
          <w:sz w:val="28"/>
          <w:szCs w:val="28"/>
        </w:rPr>
      </w:pPr>
    </w:p>
    <w:p w14:paraId="00583D02">
      <w:pPr>
        <w:adjustRightInd w:val="0"/>
        <w:snapToGrid w:val="0"/>
        <w:spacing w:line="360" w:lineRule="auto"/>
        <w:rPr>
          <w:rFonts w:hint="eastAsia" w:ascii="Calibri" w:hAnsi="Calibri" w:eastAsia="仿宋_GB2312"/>
          <w:b/>
          <w:color w:val="auto"/>
          <w:sz w:val="28"/>
          <w:szCs w:val="28"/>
        </w:rPr>
      </w:pPr>
      <w:r>
        <w:rPr>
          <w:rFonts w:hint="eastAsia" w:ascii="Calibri" w:hAnsi="Calibri" w:eastAsia="仿宋_GB2312"/>
          <w:b/>
          <w:color w:val="auto"/>
          <w:sz w:val="28"/>
          <w:szCs w:val="28"/>
        </w:rPr>
        <w:t>三、德育综合表现内容</w:t>
      </w:r>
    </w:p>
    <w:p w14:paraId="2DAD962E">
      <w:pPr>
        <w:adjustRightInd w:val="0"/>
        <w:snapToGrid w:val="0"/>
        <w:spacing w:line="360" w:lineRule="auto"/>
        <w:rPr>
          <w:rFonts w:hint="eastAsia" w:ascii="Calibri" w:hAnsi="Calibri" w:eastAsia="仿宋_GB2312"/>
          <w:b/>
          <w:color w:val="auto"/>
          <w:sz w:val="28"/>
          <w:szCs w:val="28"/>
        </w:rPr>
      </w:pPr>
      <w:r>
        <w:rPr>
          <w:rFonts w:hint="eastAsia" w:ascii="Calibri" w:hAnsi="Calibri" w:eastAsia="仿宋_GB2312"/>
          <w:b/>
          <w:color w:val="auto"/>
          <w:sz w:val="28"/>
          <w:szCs w:val="28"/>
        </w:rPr>
        <w:t>1基础评价（满分4分）</w:t>
      </w:r>
    </w:p>
    <w:p w14:paraId="04189C86">
      <w:pPr>
        <w:adjustRightInd w:val="0"/>
        <w:snapToGrid w:val="0"/>
        <w:spacing w:line="360" w:lineRule="auto"/>
        <w:ind w:firstLine="480"/>
        <w:rPr>
          <w:rFonts w:hint="eastAsia" w:ascii="Calibri" w:hAnsi="Calibri" w:eastAsia="仿宋_GB2312"/>
          <w:color w:val="auto"/>
          <w:sz w:val="28"/>
          <w:szCs w:val="28"/>
        </w:rPr>
      </w:pPr>
      <w:r>
        <w:rPr>
          <w:rFonts w:hint="eastAsia" w:ascii="Calibri" w:hAnsi="Calibri" w:eastAsia="仿宋_GB2312"/>
          <w:color w:val="auto"/>
          <w:sz w:val="28"/>
          <w:szCs w:val="28"/>
        </w:rPr>
        <w:t>基础评价包含道德素质及日常表现两部分。</w:t>
      </w:r>
    </w:p>
    <w:p w14:paraId="10E97107">
      <w:pPr>
        <w:adjustRightInd w:val="0"/>
        <w:snapToGrid w:val="0"/>
        <w:spacing w:line="360" w:lineRule="auto"/>
        <w:ind w:firstLine="480"/>
        <w:rPr>
          <w:rFonts w:hint="eastAsia" w:ascii="Calibri" w:hAnsi="Calibri" w:eastAsia="仿宋_GB2312"/>
          <w:color w:val="auto"/>
          <w:sz w:val="28"/>
          <w:szCs w:val="28"/>
        </w:rPr>
      </w:pPr>
      <w:r>
        <w:rPr>
          <w:rFonts w:hint="eastAsia" w:ascii="Calibri" w:hAnsi="Calibri" w:eastAsia="仿宋_GB2312"/>
          <w:b/>
          <w:bCs/>
          <w:color w:val="auto"/>
          <w:sz w:val="28"/>
          <w:szCs w:val="28"/>
        </w:rPr>
        <w:t>道德素质：</w:t>
      </w:r>
      <w:r>
        <w:rPr>
          <w:rFonts w:hint="eastAsia" w:ascii="Calibri" w:hAnsi="Calibri" w:eastAsia="仿宋_GB2312"/>
          <w:color w:val="auto"/>
          <w:sz w:val="28"/>
          <w:szCs w:val="28"/>
        </w:rPr>
        <w:t>思想作风正派，并有良好的道德品质，自觉遵守学校的各项规章制度，尊敬师长、团结同学。该项目基础分为2分，受到院级通报批评及以上者，该项为0分。</w:t>
      </w:r>
    </w:p>
    <w:p w14:paraId="663BACF8">
      <w:pPr>
        <w:adjustRightInd w:val="0"/>
        <w:snapToGrid w:val="0"/>
        <w:spacing w:line="360" w:lineRule="auto"/>
        <w:ind w:firstLine="480"/>
        <w:rPr>
          <w:rFonts w:hint="eastAsia" w:ascii="Calibri" w:hAnsi="Calibri" w:eastAsia="仿宋_GB2312"/>
          <w:color w:val="auto"/>
          <w:sz w:val="28"/>
          <w:szCs w:val="28"/>
        </w:rPr>
      </w:pPr>
      <w:r>
        <w:rPr>
          <w:rFonts w:hint="eastAsia" w:ascii="Calibri" w:hAnsi="Calibri" w:eastAsia="仿宋_GB2312"/>
          <w:b/>
          <w:bCs/>
          <w:color w:val="auto"/>
          <w:sz w:val="28"/>
          <w:szCs w:val="28"/>
        </w:rPr>
        <w:t>日常表现：</w:t>
      </w:r>
      <w:r>
        <w:rPr>
          <w:rFonts w:hint="eastAsia" w:ascii="Calibri" w:hAnsi="Calibri" w:eastAsia="仿宋_GB2312"/>
          <w:color w:val="auto"/>
          <w:sz w:val="28"/>
          <w:szCs w:val="28"/>
        </w:rPr>
        <w:t>积极担任校院两级学生干部，积极参加校院两级组织的各项活动。各项分数可累加（在同一类别学生组织，如研究生会，或在同一组织中担任多项职务，取最高分），该项目最高分为2分。</w:t>
      </w:r>
    </w:p>
    <w:p w14:paraId="1AEE550E">
      <w:pPr>
        <w:adjustRightInd w:val="0"/>
        <w:snapToGrid w:val="0"/>
        <w:spacing w:line="360" w:lineRule="auto"/>
        <w:ind w:firstLine="480"/>
        <w:rPr>
          <w:rFonts w:hint="eastAsia" w:ascii="Calibri" w:hAnsi="Calibri" w:eastAsia="仿宋_GB2312"/>
          <w:color w:val="auto"/>
          <w:sz w:val="28"/>
          <w:szCs w:val="28"/>
        </w:rPr>
      </w:pPr>
      <w:r>
        <w:rPr>
          <w:rFonts w:hint="eastAsia" w:ascii="Calibri" w:hAnsi="Calibri" w:eastAsia="仿宋_GB2312"/>
          <w:color w:val="auto"/>
          <w:sz w:val="28"/>
          <w:szCs w:val="28"/>
        </w:rPr>
        <w:t>担任校研究生会主席、党支部书记、班长职务加1分，院研究生会主席加0.8分；校研究生会部长、院研究生会副主席、研究生朋辈导师、党支部委员、副班长、心理委员加0.5分；院研究生会部长加0.4分；校研究生会干事、院研究生会副部长加0.3分；院研究生会干事加0.2分；学院认可的其他学生组织，根据承担的职务可以适当加分。参加1次寒暑假校级学生社会实践加0.2分，学期内参加1次社会实践加0.1分；参加1次志愿服务（时长应在1个小时以上）加0.1分；参加校运动会等学院认可的活动可进行适当加分。</w:t>
      </w:r>
    </w:p>
    <w:p w14:paraId="706B3690">
      <w:pPr>
        <w:adjustRightInd w:val="0"/>
        <w:snapToGrid w:val="0"/>
        <w:spacing w:line="360" w:lineRule="auto"/>
        <w:ind w:firstLine="480"/>
        <w:rPr>
          <w:rFonts w:hint="eastAsia" w:ascii="Calibri" w:hAnsi="Calibri" w:eastAsia="仿宋_GB2312"/>
          <w:color w:val="auto"/>
          <w:sz w:val="28"/>
          <w:szCs w:val="28"/>
        </w:rPr>
      </w:pPr>
      <w:r>
        <w:rPr>
          <w:rFonts w:hint="eastAsia" w:ascii="Calibri" w:hAnsi="Calibri" w:eastAsia="仿宋_GB2312"/>
          <w:color w:val="auto"/>
          <w:sz w:val="28"/>
          <w:szCs w:val="28"/>
        </w:rPr>
        <w:t>基础评价总分不超过4分。</w:t>
      </w:r>
    </w:p>
    <w:p w14:paraId="36506DCF">
      <w:pPr>
        <w:adjustRightInd w:val="0"/>
        <w:snapToGrid w:val="0"/>
        <w:spacing w:line="360" w:lineRule="auto"/>
        <w:rPr>
          <w:rFonts w:hint="eastAsia" w:ascii="Calibri" w:hAnsi="Calibri" w:eastAsia="仿宋_GB2312"/>
          <w:b/>
          <w:color w:val="auto"/>
          <w:sz w:val="28"/>
          <w:szCs w:val="28"/>
        </w:rPr>
      </w:pPr>
      <w:r>
        <w:rPr>
          <w:rFonts w:hint="eastAsia" w:ascii="Calibri" w:hAnsi="Calibri" w:eastAsia="仿宋_GB2312"/>
          <w:b/>
          <w:color w:val="auto"/>
          <w:sz w:val="28"/>
          <w:szCs w:val="28"/>
        </w:rPr>
        <w:t>2德育奖励（满分1分）</w:t>
      </w:r>
    </w:p>
    <w:p w14:paraId="59D7157B">
      <w:pPr>
        <w:adjustRightInd w:val="0"/>
        <w:snapToGrid w:val="0"/>
        <w:spacing w:line="360" w:lineRule="auto"/>
        <w:ind w:firstLine="480"/>
        <w:rPr>
          <w:rFonts w:hint="eastAsia" w:ascii="Calibri" w:hAnsi="Calibri" w:eastAsia="仿宋_GB2312"/>
          <w:color w:val="auto"/>
          <w:sz w:val="28"/>
          <w:szCs w:val="28"/>
        </w:rPr>
      </w:pPr>
      <w:r>
        <w:rPr>
          <w:rFonts w:hint="eastAsia" w:ascii="Calibri" w:hAnsi="Calibri" w:eastAsia="仿宋_GB2312"/>
          <w:color w:val="auto"/>
          <w:sz w:val="28"/>
          <w:szCs w:val="28"/>
        </w:rPr>
        <w:t>对获得校级及以上奖励</w:t>
      </w:r>
      <w:r>
        <w:rPr>
          <w:rFonts w:hint="eastAsia" w:ascii="Calibri" w:hAnsi="Calibri" w:eastAsia="仿宋_GB2312"/>
          <w:color w:val="auto"/>
          <w:sz w:val="28"/>
          <w:szCs w:val="28"/>
          <w:lang w:eastAsia="zh-CN"/>
        </w:rPr>
        <w:t>（</w:t>
      </w:r>
      <w:r>
        <w:rPr>
          <w:rFonts w:hint="eastAsia" w:ascii="Calibri" w:hAnsi="Calibri" w:eastAsia="仿宋_GB2312"/>
          <w:color w:val="auto"/>
          <w:sz w:val="28"/>
          <w:szCs w:val="28"/>
        </w:rPr>
        <w:t>不含各类奖学金</w:t>
      </w:r>
      <w:r>
        <w:rPr>
          <w:rFonts w:hint="eastAsia" w:ascii="Calibri" w:hAnsi="Calibri" w:eastAsia="仿宋_GB2312"/>
          <w:color w:val="auto"/>
          <w:sz w:val="28"/>
          <w:szCs w:val="28"/>
          <w:lang w:eastAsia="zh-CN"/>
        </w:rPr>
        <w:t>）</w:t>
      </w:r>
      <w:r>
        <w:rPr>
          <w:rFonts w:hint="eastAsia" w:ascii="Calibri" w:hAnsi="Calibri" w:eastAsia="仿宋_GB2312"/>
          <w:color w:val="auto"/>
          <w:sz w:val="28"/>
          <w:szCs w:val="28"/>
        </w:rPr>
        <w:t>的研究生进行加分，取学生活动荣誉对应分值最高项目加分，各项目得分不累加。具体分值和对应荣誉项目如下：</w:t>
      </w:r>
    </w:p>
    <w:p w14:paraId="5B7B0B53">
      <w:pPr>
        <w:adjustRightInd w:val="0"/>
        <w:snapToGrid w:val="0"/>
        <w:spacing w:line="360" w:lineRule="auto"/>
        <w:ind w:firstLine="560" w:firstLineChars="200"/>
        <w:rPr>
          <w:rFonts w:hint="eastAsia" w:ascii="Calibri" w:hAnsi="Calibri" w:eastAsia="仿宋_GB2312"/>
          <w:color w:val="auto"/>
          <w:sz w:val="28"/>
          <w:szCs w:val="28"/>
        </w:rPr>
      </w:pPr>
      <w:r>
        <w:rPr>
          <w:rFonts w:hint="eastAsia" w:ascii="Calibri" w:hAnsi="Calibri" w:eastAsia="仿宋_GB2312"/>
          <w:color w:val="auto"/>
          <w:sz w:val="28"/>
          <w:szCs w:val="28"/>
        </w:rPr>
        <w:t>1分：国家级个人、集体荣誉奖励，省级个人荣誉奖励标兵；</w:t>
      </w:r>
    </w:p>
    <w:p w14:paraId="047C2F2E">
      <w:pPr>
        <w:adjustRightInd w:val="0"/>
        <w:snapToGrid w:val="0"/>
        <w:spacing w:line="360" w:lineRule="auto"/>
        <w:ind w:firstLine="560" w:firstLineChars="200"/>
        <w:rPr>
          <w:rFonts w:hint="eastAsia" w:ascii="Calibri" w:hAnsi="Calibri" w:eastAsia="仿宋_GB2312"/>
          <w:color w:val="auto"/>
          <w:sz w:val="28"/>
          <w:szCs w:val="28"/>
        </w:rPr>
      </w:pPr>
      <w:r>
        <w:rPr>
          <w:rFonts w:hint="eastAsia" w:ascii="Calibri" w:hAnsi="Calibri" w:eastAsia="仿宋_GB2312"/>
          <w:color w:val="auto"/>
          <w:sz w:val="28"/>
          <w:szCs w:val="28"/>
        </w:rPr>
        <w:t>0.7分：省级个人荣誉奖励、校级个人荣誉奖励标兵、省级集体荣誉奖励标兵；</w:t>
      </w:r>
    </w:p>
    <w:p w14:paraId="0AE02CA6">
      <w:pPr>
        <w:adjustRightInd w:val="0"/>
        <w:snapToGrid w:val="0"/>
        <w:spacing w:line="360" w:lineRule="auto"/>
        <w:ind w:firstLine="480"/>
        <w:rPr>
          <w:rFonts w:hint="eastAsia" w:ascii="Calibri" w:hAnsi="Calibri" w:eastAsia="仿宋_GB2312"/>
          <w:color w:val="auto"/>
          <w:sz w:val="28"/>
          <w:szCs w:val="28"/>
        </w:rPr>
      </w:pPr>
      <w:r>
        <w:rPr>
          <w:rFonts w:hint="eastAsia" w:ascii="Calibri" w:hAnsi="Calibri" w:eastAsia="仿宋_GB2312"/>
          <w:color w:val="auto"/>
          <w:sz w:val="28"/>
          <w:szCs w:val="28"/>
        </w:rPr>
        <w:t>0.3分：校级个人荣誉奖励、省级集体荣誉奖励、校级集体荣誉奖励标兵；</w:t>
      </w:r>
    </w:p>
    <w:p w14:paraId="619159C0">
      <w:pPr>
        <w:adjustRightInd w:val="0"/>
        <w:snapToGrid w:val="0"/>
        <w:spacing w:line="360" w:lineRule="auto"/>
        <w:ind w:firstLine="480"/>
        <w:rPr>
          <w:rFonts w:hint="eastAsia" w:ascii="Calibri" w:hAnsi="Calibri" w:eastAsia="仿宋_GB2312"/>
          <w:color w:val="auto"/>
          <w:sz w:val="28"/>
          <w:szCs w:val="28"/>
        </w:rPr>
      </w:pPr>
      <w:r>
        <w:rPr>
          <w:rFonts w:hint="eastAsia" w:ascii="Calibri" w:hAnsi="Calibri" w:eastAsia="仿宋_GB2312"/>
          <w:color w:val="auto"/>
          <w:sz w:val="28"/>
          <w:szCs w:val="28"/>
        </w:rPr>
        <w:t>0.2分：校级集体荣誉奖励，校区级个人荣誉奖励；</w:t>
      </w:r>
    </w:p>
    <w:p w14:paraId="2661EF5C">
      <w:pPr>
        <w:adjustRightInd w:val="0"/>
        <w:snapToGrid w:val="0"/>
        <w:spacing w:line="360" w:lineRule="auto"/>
        <w:ind w:firstLine="480"/>
        <w:rPr>
          <w:rFonts w:hint="eastAsia" w:ascii="Calibri" w:hAnsi="Calibri" w:eastAsia="仿宋_GB2312"/>
          <w:color w:val="auto"/>
          <w:sz w:val="28"/>
          <w:szCs w:val="28"/>
        </w:rPr>
      </w:pPr>
      <w:r>
        <w:rPr>
          <w:rFonts w:hint="eastAsia" w:ascii="Calibri" w:hAnsi="Calibri" w:eastAsia="仿宋_GB2312"/>
          <w:color w:val="auto"/>
          <w:sz w:val="28"/>
          <w:szCs w:val="28"/>
        </w:rPr>
        <w:t>0.1分：校区级集体荣誉奖励。</w:t>
      </w:r>
    </w:p>
    <w:p w14:paraId="66D9FC57">
      <w:pPr>
        <w:adjustRightInd w:val="0"/>
        <w:snapToGrid w:val="0"/>
        <w:spacing w:line="360" w:lineRule="auto"/>
        <w:ind w:firstLine="480"/>
        <w:rPr>
          <w:rFonts w:hint="eastAsia" w:ascii="Calibri" w:hAnsi="Calibri" w:eastAsia="仿宋_GB2312"/>
          <w:color w:val="auto"/>
          <w:sz w:val="28"/>
          <w:szCs w:val="28"/>
        </w:rPr>
      </w:pPr>
      <w:r>
        <w:rPr>
          <w:rFonts w:hint="eastAsia" w:ascii="Calibri" w:hAnsi="Calibri" w:eastAsia="仿宋_GB2312"/>
          <w:b/>
          <w:color w:val="auto"/>
          <w:sz w:val="28"/>
          <w:szCs w:val="28"/>
        </w:rPr>
        <w:t>特殊表现：</w:t>
      </w:r>
      <w:r>
        <w:rPr>
          <w:rFonts w:hint="eastAsia" w:ascii="Calibri" w:hAnsi="Calibri" w:eastAsia="仿宋_GB2312"/>
          <w:color w:val="auto"/>
          <w:sz w:val="28"/>
          <w:szCs w:val="28"/>
        </w:rPr>
        <w:t>对有见义勇为、拾金不昧等表现，或在某方面</w:t>
      </w:r>
      <w:r>
        <w:rPr>
          <w:rFonts w:hint="eastAsia" w:ascii="Calibri" w:hAnsi="Calibri" w:eastAsia="仿宋_GB2312"/>
          <w:color w:val="auto"/>
          <w:sz w:val="28"/>
          <w:szCs w:val="28"/>
          <w:lang w:val="en-US" w:eastAsia="zh-CN"/>
        </w:rPr>
        <w:t>作</w:t>
      </w:r>
      <w:r>
        <w:rPr>
          <w:rFonts w:hint="eastAsia" w:ascii="Calibri" w:hAnsi="Calibri" w:eastAsia="仿宋_GB2312"/>
          <w:color w:val="auto"/>
          <w:sz w:val="28"/>
          <w:szCs w:val="28"/>
        </w:rPr>
        <w:t>出突出贡献，并引起一定校园、社会反响的学生进行适当加分。</w:t>
      </w:r>
    </w:p>
    <w:p w14:paraId="3CED4469">
      <w:pPr>
        <w:adjustRightInd w:val="0"/>
        <w:snapToGrid w:val="0"/>
        <w:spacing w:line="360" w:lineRule="auto"/>
        <w:ind w:firstLine="480"/>
        <w:rPr>
          <w:rFonts w:ascii="Calibri" w:hAnsi="Calibri" w:eastAsia="仿宋_GB2312"/>
          <w:color w:val="auto"/>
          <w:sz w:val="28"/>
          <w:szCs w:val="28"/>
        </w:rPr>
      </w:pPr>
      <w:r>
        <w:rPr>
          <w:rFonts w:hint="eastAsia" w:ascii="Calibri" w:hAnsi="Calibri" w:eastAsia="仿宋_GB2312"/>
          <w:color w:val="auto"/>
          <w:sz w:val="28"/>
          <w:szCs w:val="28"/>
        </w:rPr>
        <w:t>（德育奖励与特殊表现可合并计分，两项总分不超过1分。）</w:t>
      </w:r>
    </w:p>
    <w:p w14:paraId="7959EF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E5899"/>
    <w:rsid w:val="7FEE5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2026-09-15T08:39:00Z</dcterms:created>
  <dc:creator>马子栋</dc:creator>
  <cp:lastModifiedBy>马子栋</cp:lastModifiedBy>
  <dcterms:modified xsi:type="dcterms:W3CDTF">2026-09-15T08:42:39Z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03A1385C62D04995BE32D60772B08DC6_11</vt:lpwstr>
  </property>
  <property fmtid="{D5CDD505-2E9C-101B-9397-08002B2CF9AE}" pid="4" name="KSOTemplateDocerSaveRecord">
    <vt:lpwstr>eyJoZGlkIjoiNTM4NzkyZGMwMTNlZjVkY2MyYmJjM2E2ZTY2YTRkOTgiLCJ1c2VySWQiOiIxNzcyNDI3NTA1In0=</vt:lpwstr>
  </property>
</Properties>
</file>